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Budsjettoppdatering Q2 2026</w:t>
      </w:r>
    </w:p>
    <w:p>
      <w:pPr>
        <w:spacing w:after="100"/>
      </w:pPr>
      <w:r>
        <w:rPr>
          <w:b/>
          <w:bCs/>
        </w:rPr>
        <w:t xml:space="preserve">Fra: </w:t>
      </w:r>
      <w:r>
        <w:t xml:space="preserve">Jonas Kvernmo, Controller</w:t>
      </w:r>
    </w:p>
    <w:p>
      <w:pPr>
        <w:spacing w:after="100"/>
      </w:pPr>
      <w:r>
        <w:rPr>
          <w:b/>
          <w:bCs/>
        </w:rPr>
        <w:t xml:space="preserve">Til: </w:t>
      </w:r>
      <w:r>
        <w:t xml:space="preserve">Ledergruppa</w:t>
      </w:r>
    </w:p>
    <w:p>
      <w:pPr>
        <w:spacing w:after="200"/>
      </w:pPr>
      <w:r>
        <w:rPr>
          <w:b/>
          <w:bCs/>
        </w:rPr>
        <w:t xml:space="preserve">Dato: </w:t>
      </w:r>
      <w:r>
        <w:t xml:space="preserve">2. april 2026</w:t>
      </w:r>
    </w:p>
    <w:p>
      <w:pPr>
        <w:spacing w:after="200"/>
      </w:pPr>
      <w:r>
        <w:t xml:space="preserve">Basert på Q1-resultater og oppdaterte prognoser, foreslår jeg følgende justeringer i budsjettet for Q2 2026. Endringene reflekterer både positive inntektsavvik og identifiserte behov for ytterligere investering.</w:t>
      </w:r>
    </w:p>
    <w:p>
      <w:pPr>
        <w:pStyle w:val="Heading2"/>
      </w:pPr>
      <w:r>
        <w:t xml:space="preserve">Foreslåtte endringer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8"/>
        <w:gridCol w:w="1505"/>
        <w:gridCol w:w="1505"/>
        <w:gridCol w:w="1505"/>
        <w:gridCol w:w="1503"/>
      </w:tblGrid>
      <w:tr>
        <w:tc>
          <w:tcPr>
            <w:tcW w:type="dxa" w:w="30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Post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Opprinnelig Q2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Justert Q2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Endring</w:t>
            </w:r>
          </w:p>
        </w:tc>
        <w:tc>
          <w:tcPr>
            <w:tcW w:type="dxa" w:w="150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Årsak</w:t>
            </w:r>
          </w:p>
        </w:tc>
      </w:tr>
      <w:tr>
        <w:tc>
          <w:tcPr>
            <w:tcW w:type="dxa" w:w="30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Salg Sørlandet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4 800 000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5 280 000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+480 000</w:t>
            </w:r>
          </w:p>
        </w:tc>
        <w:tc>
          <w:tcPr>
            <w:tcW w:type="dxa" w:w="150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Q1-trend</w:t>
            </w:r>
          </w:p>
        </w:tc>
      </w:tr>
      <w:tr>
        <w:tc>
          <w:tcPr>
            <w:tcW w:type="dxa" w:w="30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Salg Vestland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3 200 000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3 520 000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+320 000</w:t>
            </w:r>
          </w:p>
        </w:tc>
        <w:tc>
          <w:tcPr>
            <w:tcW w:type="dxa" w:w="150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Nye kunder</w:t>
            </w:r>
          </w:p>
        </w:tc>
      </w:tr>
      <w:tr>
        <w:tc>
          <w:tcPr>
            <w:tcW w:type="dxa" w:w="30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Salg Nord-Norge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1 800 000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1 800 000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0</w:t>
            </w:r>
          </w:p>
        </w:tc>
        <w:tc>
          <w:tcPr>
            <w:tcW w:type="dxa" w:w="150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Uendret</w:t>
            </w:r>
          </w:p>
        </w:tc>
      </w:tr>
      <w:tr>
        <w:tc>
          <w:tcPr>
            <w:tcW w:type="dxa" w:w="30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IT-kostnader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2 100 000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2 640 000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+540 000</w:t>
            </w:r>
          </w:p>
        </w:tc>
        <w:tc>
          <w:tcPr>
            <w:tcW w:type="dxa" w:w="150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TechSoft-avtale</w:t>
            </w:r>
          </w:p>
        </w:tc>
      </w:tr>
      <w:tr>
        <w:tc>
          <w:tcPr>
            <w:tcW w:type="dxa" w:w="30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Markedsføring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350 000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420 000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+70 000</w:t>
            </w:r>
          </w:p>
        </w:tc>
        <w:tc>
          <w:tcPr>
            <w:tcW w:type="dxa" w:w="150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Utvidet kampanje</w:t>
            </w:r>
          </w:p>
        </w:tc>
      </w:tr>
      <w:tr>
        <w:tc>
          <w:tcPr>
            <w:tcW w:type="dxa" w:w="30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Rekruttering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200 000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350 000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+150 000</w:t>
            </w:r>
          </w:p>
        </w:tc>
        <w:tc>
          <w:tcPr>
            <w:tcW w:type="dxa" w:w="150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2 nyansettelser</w:t>
            </w:r>
          </w:p>
        </w:tc>
      </w:tr>
    </w:tbl>
    <w:p>
      <w:pPr>
        <w:pStyle w:val="Heading2"/>
        <w:spacing w:before="300"/>
      </w:pPr>
      <w:r>
        <w:t xml:space="preserve">Begrunnelse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Inntektsjustering: </w:t>
      </w:r>
      <w:r>
        <w:t xml:space="preserve">Q1-resultater viser at Sørlandet og Vestland ligger henholdsvis 12 % og 15 % over prognose. Vi justerer Q2-budsjettet opp med 10 % for disse regionene, noe som gir en mer realistisk prognose.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TechSoft-avtale: </w:t>
      </w:r>
      <w:r>
        <w:t xml:space="preserve">Den nye leverandøravtalen med TechSoft Solutions (se vedlegg) innebærer en årlig kostnad på 540 000 kr. Første kvartal faktureres i Q2. Avtalen erstatter to eksisterende verktøy og vil gi netto besparelse fra Q3.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Markedskampanje: </w:t>
      </w:r>
      <w:r>
        <w:t xml:space="preserve">Ida har foreslått å utvide Q2-kampanjen med en ekstra bransjemesse i Stavanger. Kostnad: 70 000 kr. Forventet effekt: 10–15 ekstra leads.</w:t>
      </w:r>
    </w:p>
    <w:p>
      <w:pPr>
        <w:pStyle w:val="ListParagraph"/>
        <w:numPr>
          <w:ilvl w:val="0"/>
          <w:numId w:val="2"/>
        </w:numPr>
        <w:spacing w:after="200"/>
      </w:pPr>
      <w:r>
        <w:rPr>
          <w:b/>
          <w:bCs/>
        </w:rPr>
        <w:t xml:space="preserve">Rekruttering: </w:t>
      </w:r>
      <w:r>
        <w:t xml:space="preserve">For å håndtere økt etterspørsel planlegger vi å ansette én ekstra salgskonsulent og én frontend-utvikler i Q2. Rekrutteringskostnadene dekker annonsering og evt. hodejegerhonorar.</w:t>
      </w:r>
    </w:p>
    <w:p>
      <w:pPr>
        <w:pStyle w:val="Heading2"/>
      </w:pPr>
      <w:r>
        <w:t xml:space="preserve">Netto effekt</w:t>
      </w:r>
    </w:p>
    <w:p>
      <w:pPr>
        <w:spacing w:after="200"/>
      </w:pPr>
      <w:r>
        <w:t xml:space="preserve">Samlet innebærer justeringene en økning i forventede inntekter på 800 000 kr og en økning i kostnader på 760 000 kr. Netto resultateffekt er dermed +40 000 kr for Q2, men de økte kostnadene er investeringer som forventes å gi betydelig avkastning i Q3 og Q4.</w:t>
      </w:r>
    </w:p>
    <w:p>
      <w:pPr>
        <w:spacing w:after="200"/>
      </w:pPr>
      <w:r>
        <w:rPr>
          <w:b/>
          <w:bCs/>
        </w:rPr>
        <w:t xml:space="preserve">Ber om godkjenning av justert budsjett i ledermøtet 15. april.</w:t>
      </w:r>
    </w:p>
    <w:p>
      <w:r>
        <w:rPr>
          <w:i/>
          <w:iCs/>
        </w:rPr>
        <w:t xml:space="preserve">Mvh,</w:t>
      </w:r>
    </w:p>
    <w:p>
      <w:r>
        <w:rPr>
          <w:i/>
          <w:iCs/>
        </w:rPr>
        <w:t xml:space="preserve">Jonas Kvernmo</w:t>
      </w:r>
    </w:p>
    <w:p>
      <w:r>
        <w:rPr>
          <w:color w:val="666666"/>
          <w:sz w:val="18"/>
          <w:szCs w:val="18"/>
        </w:rPr>
        <w:t xml:space="preserve">Controller, Fjordkant Consulting AS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color w:val="1B4F72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0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2026-04-07T11:58:10.254Z</dcterms:created>
  <dcterms:modified xsi:type="dcterms:W3CDTF">2026-04-07T11:58:10.255Z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